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w:drawing>
          <wp:anchor distT="0" distB="0" distL="263525" distR="0" simplePos="0" relativeHeight="125829378" behindDoc="0" locked="0" layoutInCell="1" allowOverlap="1">
            <wp:simplePos x="0" y="0"/>
            <wp:positionH relativeFrom="page">
              <wp:posOffset>5169535</wp:posOffset>
            </wp:positionH>
            <wp:positionV relativeFrom="paragraph">
              <wp:posOffset>174625</wp:posOffset>
            </wp:positionV>
            <wp:extent cx="1029970" cy="1408430"/>
            <wp:wrapTight wrapText="left">
              <wp:wrapPolygon>
                <wp:start x="13297" y="0"/>
                <wp:lineTo x="21600" y="0"/>
                <wp:lineTo x="21600" y="3299"/>
                <wp:lineTo x="18231" y="3299"/>
                <wp:lineTo x="18231" y="6203"/>
                <wp:lineTo x="15463" y="6203"/>
                <wp:lineTo x="15463" y="10118"/>
                <wp:lineTo x="15162" y="10118"/>
                <wp:lineTo x="15162" y="11570"/>
                <wp:lineTo x="10710" y="11570"/>
                <wp:lineTo x="10710" y="21600"/>
                <wp:lineTo x="1865" y="21600"/>
                <wp:lineTo x="1865" y="19884"/>
                <wp:lineTo x="0" y="19884"/>
                <wp:lineTo x="0" y="6423"/>
                <wp:lineTo x="6378" y="6423"/>
                <wp:lineTo x="6378" y="1320"/>
                <wp:lineTo x="13297" y="1320"/>
                <wp:lineTo x="13297" y="0"/>
              </wp:wrapPolygon>
            </wp:wrapTight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029970" cy="140843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5120640</wp:posOffset>
                </wp:positionH>
                <wp:positionV relativeFrom="paragraph">
                  <wp:posOffset>358140</wp:posOffset>
                </wp:positionV>
                <wp:extent cx="372745" cy="214630"/>
                <wp:wrapNone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72745" cy="2146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мущи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03.19999999999999pt;margin-top:28.199999999999999pt;width:29.350000000000001pt;height:16.899999999999999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мущи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4" behindDoc="0" locked="0" layoutInCell="1" allowOverlap="1">
                <wp:simplePos x="0" y="0"/>
                <wp:positionH relativeFrom="page">
                  <wp:posOffset>4906010</wp:posOffset>
                </wp:positionH>
                <wp:positionV relativeFrom="paragraph">
                  <wp:posOffset>802640</wp:posOffset>
                </wp:positionV>
                <wp:extent cx="278130" cy="386715"/>
                <wp:wrapNone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78130" cy="38671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underscore" w:pos="393" w:val="left"/>
                              </w:tabs>
                              <w:bidi w:val="0"/>
                              <w:spacing w:before="0" w:after="260" w:line="240" w:lineRule="auto"/>
                              <w:ind w:left="0" w:right="0" w:firstLine="0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ru-RU" w:eastAsia="ru-RU" w:bidi="ru-RU"/>
                              </w:rPr>
                              <w:tab/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i/>
                                <w:iCs/>
                                <w:color w:val="7E89C0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ru-RU" w:eastAsia="ru-RU" w:bidi="ru-RU"/>
                              </w:rPr>
                              <w:t>/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386.30000000000001pt;margin-top:63.200000000000003pt;width:21.899999999999999pt;height:30.449999999999999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underscore" w:pos="393" w:val="left"/>
                        </w:tabs>
                        <w:bidi w:val="0"/>
                        <w:spacing w:before="0" w:after="260" w:line="240" w:lineRule="auto"/>
                        <w:ind w:left="0" w:right="0" w:firstLine="0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Arial" w:eastAsia="Arial" w:hAnsi="Arial" w:cs="Arial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ru-RU" w:eastAsia="ru-RU" w:bidi="ru-RU"/>
                        </w:rPr>
                        <w:tab/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Arial" w:eastAsia="Arial" w:hAnsi="Arial" w:cs="Arial"/>
                          <w:i/>
                          <w:iCs/>
                          <w:color w:val="7E89C0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ru-RU" w:eastAsia="ru-RU" w:bidi="ru-RU"/>
                        </w:rPr>
                        <w:t>/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1779905" distL="117475" distR="113665" simplePos="0" relativeHeight="125829379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12700</wp:posOffset>
                </wp:positionV>
                <wp:extent cx="1097915" cy="556260"/>
                <wp:wrapSquare wrapText="left"/>
                <wp:docPr id="7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97915" cy="5562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УТВЕРЖДАЮ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52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ынского ого района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446.35000000000002pt;margin-top:1.pt;width:86.450000000000003pt;height:43.799999999999997pt;z-index:-125829374;mso-wrap-distance-left:9.25pt;mso-wrap-distance-right:8.9499999999999993pt;mso-wrap-distance-bottom:140.15000000000001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УТВЕРЖДАЮ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52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ынского ого района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mc:AlternateContent>
          <mc:Choice Requires="wps">
            <w:drawing>
              <wp:anchor distT="708025" distB="1249680" distL="114300" distR="114300" simplePos="0" relativeHeight="125829381" behindDoc="0" locked="0" layoutInCell="1" allowOverlap="1">
                <wp:simplePos x="0" y="0"/>
                <wp:positionH relativeFrom="page">
                  <wp:posOffset>5665470</wp:posOffset>
                </wp:positionH>
                <wp:positionV relativeFrom="paragraph">
                  <wp:posOffset>720725</wp:posOffset>
                </wp:positionV>
                <wp:extent cx="1100455" cy="378460"/>
                <wp:wrapSquare wrapText="left"/>
                <wp:docPr id="9" name="Shape 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00455" cy="3784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.А. Кузнецов враля 2025 года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446.10000000000002pt;margin-top:56.75pt;width:86.650000000000006pt;height:29.800000000000001pt;z-index:-125829372;mso-wrap-distance-left:9.pt;mso-wrap-distance-top:55.75pt;mso-wrap-distance-right:9.pt;mso-wrap-distance-bottom:98.400000000000006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34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.А. Кузнецов враля 2025 года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mc:AlternateContent>
          <mc:Choice Requires="wps">
            <w:drawing>
              <wp:anchor distT="2138680" distB="0" distL="231775" distR="266065" simplePos="0" relativeHeight="125829383" behindDoc="0" locked="0" layoutInCell="1" allowOverlap="1">
                <wp:simplePos x="0" y="0"/>
                <wp:positionH relativeFrom="page">
                  <wp:posOffset>5782945</wp:posOffset>
                </wp:positionH>
                <wp:positionV relativeFrom="paragraph">
                  <wp:posOffset>2151380</wp:posOffset>
                </wp:positionV>
                <wp:extent cx="831215" cy="197485"/>
                <wp:wrapSquare wrapText="left"/>
                <wp:docPr id="11" name="Shape 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31215" cy="1974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г. Хвалынск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455.35000000000002pt;margin-top:169.40000000000001pt;width:65.450000000000003pt;height:15.550000000000001pt;z-index:-125829370;mso-wrap-distance-left:18.25pt;mso-wrap-distance-top:168.40000000000001pt;mso-wrap-distance-right:20.949999999999999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г. Хвалынск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Протокол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224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открытого собрания районного актив Хвалынского муниципального района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60" w:line="252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28 февраля 2025 года, 14.00 часов Актовый зал РДК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6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Присутствовали депутаты органов местного самоуправления Хвалынского муниципального района, представители администрации муниципального района и муниципальных образований, руководители районных служб и организаций, жители города в количестве 154 человека.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Приглашенные: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Шабаев Рушан Исмаилович - председатель общественного Совета города Хвалынска.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60" w:line="286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Трошина Н.В. - министр внутренней политики и общественных отношений Саратовской области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2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ПОВЕСТКА ДНЯ: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60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«Об итогах социально-экономического развития Хвалынского муниципального района за 2024 год»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(докладчик: глава Хвалынского муниципального района Кузнецов М.А.).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44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Подведение итогов, принятие резолюции.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Были заданы вопросы участниками Собрания актива:</w:t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44" w:val="left"/>
        </w:tabs>
        <w:bidi w:val="0"/>
        <w:spacing w:before="0" w:after="0" w:line="264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Гончаров А.В. житель города Хвалынска: на территории городского рынка не запрещен въезд частному транспорту, очень опасно передвигаться по территории. Ответ: работаем над этой проблемой, будем устанавливать временной интервал для посещения жителей района и работников рынка, рассматривается вопрос об установке ограничительных знаков движения.</w:t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44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Шабаев Р.И. предлагаю включать в повестку дня работы Собрания награждение достойных людей района.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Ответ: предложение принимается.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На все поступившие вопросы в ходе собрания даны пояснения и разъяснения.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0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Заслушав и обсудив доклад «Об итогах социально-экономического развития Хвалынского муниципального района за 2024 год и задачах до конца 2025 года», собрание актива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РЕШИЛО: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03" w:val="left"/>
        </w:tabs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Информацию об итогах социально-экономического развития Хвалынского муниципального района за 2024 год принять к сведению.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998" w:val="left"/>
        </w:tabs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Деятельность администрации Хвалынского муниципального района признать удовлетворительной.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039" w:val="left"/>
        </w:tabs>
        <w:bidi w:val="0"/>
        <w:spacing w:before="0" w:after="0" w:line="240" w:lineRule="auto"/>
        <w:ind w:left="0" w:right="0" w:firstLine="70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Основными задачами на 2025 год считать: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44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принятие мер по повышению уровня жизни и благосостояния населения района,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58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привлечение в район инвестиций, внедрение новых технологий, модернизация действующего производства,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48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создание условий для развития сельскохозяйственного производства, поддержка малого и среднего предпринимательства,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44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наращивание собственных источников формирования местного бюджета за счет развития экономики, эффективного использования земли и муниципальной собственности,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48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привлечение дополнительных доходов в бюджет района и сокращение недоимки по платежам во все уровни бюджета и внебюджетные фонды.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80"/>
        <w:jc w:val="left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Для решения этих задач необходимо: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сфере экономики, финансов: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48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достижение показателей прогноза социально-экономического развития района,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48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обеспечение выполнения доходной части консолидированного бюджета,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48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обеспечение исполнения первоочередных социально-значимых расходных обязательств,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44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обеспечение эффективного использования бюджетных средств, усиление финансового контроля по операциям с бюджетными средствами,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44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исполнение мероприятий Плана по оздоровлению муниципальных финансов;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44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обеспечение эффективности работы межведомственной комиссии по легализации объектов налогообложения и увеличению доходной части консолидированного бюджета муниципального района,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44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обеспечение выполнения мероприятий муниципальных программ района.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сфере имущественных, земельных отношений и инвестиционной политики: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44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повышение эффективности использования земли и муниципального имущества,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48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проведение работы по увеличению налоговой базы на территории города и сельских поселений во взаимодействии с органами власти поселений, регистрирующими и налоговыми органами,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48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вовлечение в налогооблагаемую базу земельных участков, которые ранее не облагались земельным налогом за счет установления категории соответствующих земель, а также приведения в соответствие вида разрешенного использования таких участков,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48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реализация Прогнозного плана (Программы) приватизации муниципального имущества на 2025 год.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48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оказание содействия в реализации инвестиционных проектов,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48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проведение работы по привлечению инвесторов в экономику района и создание новых рабочих мест.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области сельского хозяйства: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53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сфере растениеводства в среднесрочной перспективе обеспечить повышение устойчивости и эффективности зернового производства, получить зерновых и зернобобовых культур - 56,0 тыс. тонн, подсолнечника - 25,0 тыс. тонн,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48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продолжить закладку многолетних насаждений на площади 100 га,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48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животноводческой отрасли обеспечить опережающий рост ее доли в структуре валовой продукции сельского хозяйства, произвести скота и птицы на убой в живом весе - 1,5 тыс. тонн, молока - 7,0 тыс. тонн, яиц - 5 млн. шт.,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48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продолжить привлечение руководителей фермерских хозяйств к участию в целевых программах «Агростартап» и «Развитие семейный животноводческих ферм», что в дальнейшем позволит увеличить производство сельскохозяйственной продукции.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социальной сфере обеспечить: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6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доступность качественного образования, отвечающего потребностям инновационного развития экономики, ожиданиям общества и каждого гражданина,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48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привлечение молодых специалистов в образовательные учреждения района,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29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формирование единого образовательного пространства отвечающего требованиям ФГОС и тенденциям инновационного развития образования в соответствии с направлениями,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29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внедрение единой модели профориентации (профминимум),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29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внедрение официальных сообществ в Российских социальных сетях — Единое пространство взаимодействия с гражданами,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29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внедрение информационных образовательных программ «СФЕРУМ»,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 xml:space="preserve">VK-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МЕССЕНДЖЕР, ФГИС «МОЯ ШКОЛА»;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34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участие в региональном проекте «Развитие инфраструктуры образовательных организаций Саратовской области»;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29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участие в Национальном проекте «Образование» федерального проекта «Современная школа» по созданию и функционированию Центров образования естественно-научной и технологической направленностей «Точка роста»: МОУ СОШ № 1, МОУ СОШ № 3, МДОУ детский сад № 5, Филиала МОУ СОШ № 3 в с. Поповка;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88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проведение комплекса плановых мер профилактике правонарушений и преступлений среди несовершеннолетних при взаимодействии со всеми службами системы профилактики,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29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проведение культурных, спортивных мероприятий и участие в региональных и российских фестивалях, конкурсах и спортивно массовых мероприятиях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34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капитальный ремонт Подлесенского Дома Досуга в рамках государственной программы Саратовской области «КУЛЬТУРА САРАТОВСКОЙ ОБЛАСТИ»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11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содействие развитию внутреннего и въездного туризма,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11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продолжение развития волонтерского движения, разработки мероприятий для большего вовлечения молодежи в общественную деятельность.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сфере жилищно-коммунального хозяйства и благоустройства обеспечить: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11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реализацию мероприятий, запланированных на 2025 год в рамках муниципальных программ,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11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 муниципальной программе формирования современной городской среды: благоустройство и приведение в нормативное состояние 3 общественных территорий в г. Хвалынске на сумму 8,5 млн. рублей,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93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исполнение мероприятий Государственной программы «Развитие транспортной системы» по ремонту сельских дорог на сумму 25,1 тыс. рублей,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38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провести работы по выявлению объектов недвижимости, не поставленных на кадастровый учет, а также приведения в соответствие фактических и документальных данных,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34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введение в действие жилых домов общей площадью 9,8 тыс. кв. м,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34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проведение работ по комплексному благоустройству и санитарной очистке территорий,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34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обеспечить устойчивое функционирование сферы ЖКХ.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сфере потребительского рынка, предпринимательства: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34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обеспечить организацию ярмарок по продаже сельскохозяйственной продукции и товаров местных производителей,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34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продолжить реализацию мероприятий муниципальной программы поддержки малого и среднего предпринимательства.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6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Рекомендовать руководителям предприятий, организаций и учреждений района всех форм собственности: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-принять меры по недопущению снижения объемов произведенной продукции, выполненных работ и оказанных услуг,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-осуществлять своевременную выплату заработной платы, обеспечить доведение ее размеров до среднеобластного уровня,</w:t>
      </w:r>
      <w:r>
        <w:br w:type="page"/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68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перечислять своевременно и в полном объеме платежи в бюджеты различных уровней и внебюджетные фонды,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63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обеспечить содержание и благоустройство прилегающих территорий,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68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исключить в своей деятельности факты «нелегальной» занятости работающих.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Органам местного самоуправления обеспечить: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68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проведение мероприятий, посвященных Году защитника Отечества и 80-летия Великой Победы;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68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разработку и реализацию проектов, основанных на местных инициативах. Голосовали: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За-154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Против-0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Воздержал ось-0.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drawing>
          <wp:anchor distT="0" distB="0" distL="114300" distR="114300" simplePos="0" relativeHeight="125829385" behindDoc="0" locked="0" layoutInCell="1" allowOverlap="1">
            <wp:simplePos x="0" y="0"/>
            <wp:positionH relativeFrom="page">
              <wp:posOffset>3217545</wp:posOffset>
            </wp:positionH>
            <wp:positionV relativeFrom="margin">
              <wp:posOffset>1889125</wp:posOffset>
            </wp:positionV>
            <wp:extent cx="676910" cy="865505"/>
            <wp:wrapSquare wrapText="left"/>
            <wp:docPr id="13" name="Shap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676910" cy="86550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125829386" behindDoc="0" locked="0" layoutInCell="1" allowOverlap="1">
                <wp:simplePos x="0" y="0"/>
                <wp:positionH relativeFrom="page">
                  <wp:posOffset>4972050</wp:posOffset>
                </wp:positionH>
                <wp:positionV relativeFrom="paragraph">
                  <wp:posOffset>12700</wp:posOffset>
                </wp:positionV>
                <wp:extent cx="965835" cy="197485"/>
                <wp:wrapSquare wrapText="left"/>
                <wp:docPr id="15" name="Shape 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65835" cy="1974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Королева Г.В.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position:absolute;margin-left:391.5pt;margin-top:1.pt;width:76.049999999999997pt;height:15.550000000000001pt;z-index:-125829367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Королева Г.В.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Секретарь собрания</w:t>
      </w:r>
    </w:p>
    <w:sectPr>
      <w:footnotePr>
        <w:pos w:val="pageBottom"/>
        <w:numFmt w:val="decimal"/>
        <w:numRestart w:val="continuous"/>
      </w:footnotePr>
      <w:pgSz w:w="12240" w:h="15840"/>
      <w:pgMar w:top="101" w:left="1806" w:right="1546" w:bottom="1102" w:header="0" w:footer="674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6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Подпись к картинке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7">
    <w:name w:val="Основной текст_"/>
    <w:basedOn w:val="DefaultParagraphFont"/>
    <w:link w:val="Styl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Подпись к картинке"/>
    <w:basedOn w:val="Normal"/>
    <w:link w:val="CharStyle3"/>
    <w:pPr>
      <w:widowControl w:val="0"/>
      <w:shd w:val="clear" w:color="auto" w:fill="FFFFFF"/>
      <w:spacing w:after="13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6">
    <w:name w:val="Основной текст"/>
    <w:basedOn w:val="Normal"/>
    <w:link w:val="CharStyle7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