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7B" w:rsidRPr="00DC307B" w:rsidRDefault="00DC307B" w:rsidP="00DC307B">
      <w:pPr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DC307B">
        <w:rPr>
          <w:rFonts w:ascii="PT Astra Serif" w:hAnsi="PT Astra Serif"/>
          <w:b/>
          <w:sz w:val="28"/>
          <w:szCs w:val="28"/>
          <w:lang w:eastAsia="en-US"/>
        </w:rPr>
        <w:t>Об утверждении значений общих параметров, используемых для расчета нормативной стоимости образовательной услуги на 2026 год.</w:t>
      </w:r>
    </w:p>
    <w:p w:rsidR="00DC307B" w:rsidRPr="00DC307B" w:rsidRDefault="00DC307B" w:rsidP="00DC307B">
      <w:pPr>
        <w:rPr>
          <w:rFonts w:ascii="PT Astra Serif" w:hAnsi="PT Astra Serif"/>
          <w:sz w:val="28"/>
          <w:szCs w:val="28"/>
          <w:lang w:eastAsia="en-US"/>
        </w:rPr>
      </w:pPr>
    </w:p>
    <w:tbl>
      <w:tblPr>
        <w:tblpPr w:leftFromText="180" w:rightFromText="180" w:bottomFromText="200" w:vertAnchor="page" w:horzAnchor="margin" w:tblpY="796"/>
        <w:tblW w:w="9643" w:type="dxa"/>
        <w:tblLayout w:type="fixed"/>
        <w:tblLook w:val="04A0" w:firstRow="1" w:lastRow="0" w:firstColumn="1" w:lastColumn="0" w:noHBand="0" w:noVBand="1"/>
      </w:tblPr>
      <w:tblGrid>
        <w:gridCol w:w="9643"/>
      </w:tblGrid>
      <w:tr w:rsidR="00DC307B" w:rsidRPr="00DC307B" w:rsidTr="002B4ABC">
        <w:trPr>
          <w:trHeight w:val="87"/>
        </w:trPr>
        <w:tc>
          <w:tcPr>
            <w:tcW w:w="9643" w:type="dxa"/>
          </w:tcPr>
          <w:p w:rsidR="00DC307B" w:rsidRPr="00DC307B" w:rsidRDefault="00DC307B" w:rsidP="00DC307B">
            <w:pPr>
              <w:widowControl w:val="0"/>
              <w:tabs>
                <w:tab w:val="left" w:pos="-10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DC307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:rsidR="00DC307B" w:rsidRPr="00DC307B" w:rsidRDefault="00DC307B" w:rsidP="00DC307B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DC307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DC307B" w:rsidRPr="00DC307B" w:rsidRDefault="00DC307B" w:rsidP="00DC307B">
            <w:pPr>
              <w:widowControl w:val="0"/>
              <w:ind w:right="4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DC307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:rsidR="00DC307B" w:rsidRPr="00DC307B" w:rsidRDefault="00DC307B" w:rsidP="00DC307B">
            <w:pPr>
              <w:widowControl w:val="0"/>
              <w:ind w:right="4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DC307B" w:rsidRPr="00DC307B" w:rsidRDefault="00DC307B" w:rsidP="00DC307B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DC307B" w:rsidRPr="00DC307B" w:rsidRDefault="00DC307B" w:rsidP="00DC307B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 О С Т А Н О В Л Е Н И Е</w:t>
            </w:r>
          </w:p>
          <w:p w:rsidR="00DC307B" w:rsidRPr="00DC307B" w:rsidRDefault="00DC307B" w:rsidP="00DC307B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DC307B" w:rsidRPr="00DC307B" w:rsidTr="002B4ABC">
        <w:trPr>
          <w:trHeight w:val="846"/>
        </w:trPr>
        <w:tc>
          <w:tcPr>
            <w:tcW w:w="9643" w:type="dxa"/>
            <w:hideMark/>
          </w:tcPr>
          <w:p w:rsidR="00DC307B" w:rsidRPr="00DC307B" w:rsidRDefault="00DC307B" w:rsidP="00DC307B">
            <w:pPr>
              <w:widowControl w:val="0"/>
              <w:tabs>
                <w:tab w:val="left" w:pos="1665"/>
                <w:tab w:val="center" w:pos="4712"/>
              </w:tabs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29 декабря 2025 г.</w:t>
            </w:r>
          </w:p>
          <w:p w:rsidR="00DC307B" w:rsidRPr="00DC307B" w:rsidRDefault="00DC307B" w:rsidP="00DC307B">
            <w:pPr>
              <w:widowControl w:val="0"/>
              <w:tabs>
                <w:tab w:val="left" w:pos="1665"/>
                <w:tab w:val="center" w:pos="4712"/>
              </w:tabs>
              <w:jc w:val="right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№ 1168</w:t>
            </w:r>
          </w:p>
          <w:p w:rsidR="00DC307B" w:rsidRPr="00DC307B" w:rsidRDefault="00DC307B" w:rsidP="00DC307B">
            <w:pPr>
              <w:widowControl w:val="0"/>
              <w:tabs>
                <w:tab w:val="left" w:pos="1665"/>
                <w:tab w:val="center" w:pos="4712"/>
              </w:tabs>
              <w:jc w:val="center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г. Хвалынск</w:t>
            </w:r>
          </w:p>
        </w:tc>
      </w:tr>
    </w:tbl>
    <w:p w:rsidR="00DC307B" w:rsidRPr="00DC307B" w:rsidRDefault="00DC307B" w:rsidP="00DC307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DC307B">
        <w:rPr>
          <w:rFonts w:ascii="PT Astra Serif" w:hAnsi="PT Astra Serif"/>
          <w:sz w:val="28"/>
          <w:szCs w:val="28"/>
          <w:lang w:eastAsia="en-US"/>
        </w:rPr>
        <w:t xml:space="preserve">В соответствии с разделом </w:t>
      </w:r>
      <w:r w:rsidRPr="00DC307B">
        <w:rPr>
          <w:rFonts w:ascii="PT Astra Serif" w:hAnsi="PT Astra Serif"/>
          <w:sz w:val="28"/>
          <w:szCs w:val="28"/>
          <w:lang w:val="en-US" w:eastAsia="en-US"/>
        </w:rPr>
        <w:t>VII</w:t>
      </w:r>
      <w:r w:rsidRPr="00DC307B">
        <w:rPr>
          <w:rFonts w:ascii="PT Astra Serif" w:hAnsi="PT Astra Serif"/>
          <w:sz w:val="28"/>
          <w:szCs w:val="28"/>
          <w:lang w:eastAsia="en-US"/>
        </w:rPr>
        <w:t xml:space="preserve"> Правил персонифицированного финансирования дополнительного образования детей в Саратовской области, утвержденных Приказом Министерством образования Саратовской области «Об утверждении Правил персонифицированного финансирования дополнительного образования детей в Саратовской области» от 21 мая 2019 года № 1077, руководствуясь </w:t>
      </w:r>
      <w:hyperlink r:id="rId7" w:history="1">
        <w:r w:rsidRPr="00DC307B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Уставом Хвалынского муниципального района</w:t>
        </w:r>
      </w:hyperlink>
      <w:r w:rsidRPr="00DC307B">
        <w:rPr>
          <w:rFonts w:ascii="PT Astra Serif" w:hAnsi="PT Astra Serif"/>
          <w:sz w:val="28"/>
          <w:szCs w:val="28"/>
          <w:lang w:eastAsia="en-US"/>
        </w:rPr>
        <w:t>, администрация Хвалынского муниципального района</w:t>
      </w:r>
    </w:p>
    <w:p w:rsidR="00DC307B" w:rsidRPr="00DC307B" w:rsidRDefault="00DC307B" w:rsidP="00DC307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DC307B" w:rsidRPr="00DC307B" w:rsidRDefault="00DC307B" w:rsidP="00DC307B">
      <w:pPr>
        <w:ind w:left="90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C307B">
        <w:rPr>
          <w:rFonts w:ascii="PT Astra Serif" w:hAnsi="PT Astra Serif"/>
          <w:b/>
          <w:sz w:val="28"/>
          <w:szCs w:val="28"/>
          <w:lang w:eastAsia="en-US"/>
        </w:rPr>
        <w:t>п о с т а н о в л я е т:</w:t>
      </w:r>
    </w:p>
    <w:p w:rsidR="00DC307B" w:rsidRPr="00DC307B" w:rsidRDefault="00DC307B" w:rsidP="00DC307B">
      <w:pPr>
        <w:ind w:left="90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DC307B" w:rsidRPr="00DC307B" w:rsidRDefault="00DC307B" w:rsidP="00DC307B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DC307B">
        <w:rPr>
          <w:rFonts w:ascii="PT Astra Serif" w:hAnsi="PT Astra Serif"/>
          <w:sz w:val="28"/>
          <w:szCs w:val="28"/>
          <w:lang w:eastAsia="en-US"/>
        </w:rPr>
        <w:t xml:space="preserve">Утвердить значения </w:t>
      </w:r>
      <w:bookmarkStart w:id="0" w:name="_Hlk185845213"/>
      <w:r w:rsidRPr="00DC307B">
        <w:rPr>
          <w:rFonts w:ascii="PT Astra Serif" w:hAnsi="PT Astra Serif"/>
          <w:sz w:val="28"/>
          <w:szCs w:val="28"/>
          <w:lang w:eastAsia="en-US"/>
        </w:rPr>
        <w:t>общих параметров, используемых для расчета нормативной стоимости образовательной услуги</w:t>
      </w:r>
      <w:bookmarkEnd w:id="0"/>
      <w:r w:rsidRPr="00DC307B">
        <w:rPr>
          <w:rFonts w:ascii="PT Astra Serif" w:hAnsi="PT Astra Serif"/>
          <w:sz w:val="28"/>
          <w:szCs w:val="28"/>
          <w:lang w:eastAsia="en-US"/>
        </w:rPr>
        <w:t xml:space="preserve"> на 2026 год в соответствии с приложением.</w:t>
      </w:r>
    </w:p>
    <w:p w:rsidR="00DC307B" w:rsidRPr="00DC307B" w:rsidRDefault="00DC307B" w:rsidP="00DC307B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DC307B">
        <w:rPr>
          <w:rFonts w:ascii="PT Astra Serif" w:hAnsi="PT Astra Serif"/>
          <w:sz w:val="28"/>
          <w:szCs w:val="28"/>
          <w:lang w:eastAsia="en-US"/>
        </w:rPr>
        <w:t>Установить, что параметры, представленные в приложении, используются оператором персонифицированного финансирования при определении нормативной стоимости образовательной услуги для каждой части образовательной программы, реализация которой осуществляется на территории Хвалынского муниципального района.</w:t>
      </w:r>
    </w:p>
    <w:p w:rsidR="00DC307B" w:rsidRPr="00DC307B" w:rsidRDefault="00DC307B" w:rsidP="00DC307B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DC307B">
        <w:rPr>
          <w:rFonts w:ascii="PT Astra Serif" w:hAnsi="PT Astra Serif"/>
          <w:sz w:val="28"/>
          <w:szCs w:val="28"/>
          <w:lang w:eastAsia="en-US"/>
        </w:rPr>
        <w:t xml:space="preserve">Признать утратившим силу Постановление администрации Хвалынского муниципального района от </w:t>
      </w:r>
      <w:hyperlink r:id="rId8" w:history="1">
        <w:r w:rsidRPr="00DC307B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25 декабря 2024 года № 883</w:t>
        </w:r>
      </w:hyperlink>
      <w:r w:rsidRPr="00DC307B">
        <w:rPr>
          <w:rFonts w:ascii="PT Astra Serif" w:hAnsi="PT Astra Serif"/>
          <w:sz w:val="28"/>
          <w:szCs w:val="28"/>
          <w:lang w:eastAsia="en-US"/>
        </w:rPr>
        <w:t xml:space="preserve"> «Об утверждении значений общих параметров, используемых для расчета нормативной стоимости образовательной услуги, на 2025 год».</w:t>
      </w:r>
    </w:p>
    <w:p w:rsidR="00DC307B" w:rsidRPr="00DC307B" w:rsidRDefault="00DC307B" w:rsidP="00DC307B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DC307B">
        <w:rPr>
          <w:rFonts w:ascii="PT Astra Serif" w:hAnsi="PT Astra Serif" w:cs="Arial"/>
          <w:sz w:val="28"/>
          <w:szCs w:val="28"/>
          <w:lang w:eastAsia="en-US"/>
        </w:rPr>
        <w:t>Настоящее постановление вступает в силу после официального опубликования (обнародования).</w:t>
      </w:r>
    </w:p>
    <w:p w:rsidR="00DC307B" w:rsidRPr="00DC307B" w:rsidRDefault="00DC307B" w:rsidP="00DC307B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DC307B">
        <w:rPr>
          <w:rFonts w:ascii="PT Astra Serif" w:hAnsi="PT Astra Serif" w:cs="Arial"/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администрации Хвалынского муниципального района по социальным вопросам.</w:t>
      </w:r>
    </w:p>
    <w:p w:rsidR="00DC307B" w:rsidRPr="00DC307B" w:rsidRDefault="00DC307B" w:rsidP="00DC307B">
      <w:pPr>
        <w:tabs>
          <w:tab w:val="left" w:pos="2805"/>
        </w:tabs>
        <w:contextualSpacing/>
        <w:rPr>
          <w:rFonts w:ascii="PT Astra Serif" w:hAnsi="PT Astra Serif"/>
          <w:sz w:val="28"/>
          <w:szCs w:val="28"/>
        </w:rPr>
      </w:pPr>
    </w:p>
    <w:p w:rsidR="00DC307B" w:rsidRPr="00DC307B" w:rsidRDefault="00DC307B" w:rsidP="00DC307B">
      <w:pPr>
        <w:tabs>
          <w:tab w:val="left" w:pos="2805"/>
        </w:tabs>
        <w:contextualSpacing/>
        <w:rPr>
          <w:rFonts w:ascii="PT Astra Serif" w:hAnsi="PT Astra Serif"/>
          <w:sz w:val="28"/>
          <w:szCs w:val="28"/>
        </w:rPr>
      </w:pPr>
    </w:p>
    <w:p w:rsidR="00DC307B" w:rsidRPr="00DC307B" w:rsidRDefault="00DC307B" w:rsidP="00DC307B">
      <w:pPr>
        <w:tabs>
          <w:tab w:val="left" w:pos="2805"/>
        </w:tabs>
        <w:contextualSpacing/>
        <w:rPr>
          <w:rFonts w:ascii="PT Astra Serif" w:hAnsi="PT Astra Serif"/>
          <w:sz w:val="28"/>
          <w:szCs w:val="28"/>
        </w:rPr>
      </w:pPr>
    </w:p>
    <w:p w:rsidR="00DC307B" w:rsidRPr="00DC307B" w:rsidRDefault="00DC307B" w:rsidP="00DC307B">
      <w:pPr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  <w:r w:rsidRPr="00DC307B">
        <w:rPr>
          <w:rFonts w:ascii="PT Astra Serif" w:hAnsi="PT Astra Serif"/>
          <w:b/>
          <w:bCs/>
          <w:sz w:val="28"/>
          <w:szCs w:val="28"/>
        </w:rPr>
        <w:t>Глава Хвалынского</w:t>
      </w:r>
    </w:p>
    <w:p w:rsidR="00DC307B" w:rsidRPr="00DC307B" w:rsidRDefault="00DC307B" w:rsidP="00DC307B">
      <w:pPr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DC307B">
        <w:rPr>
          <w:rFonts w:ascii="PT Astra Serif" w:hAnsi="PT Astra Serif"/>
          <w:b/>
          <w:bCs/>
          <w:sz w:val="28"/>
          <w:szCs w:val="28"/>
        </w:rPr>
        <w:t>муниципального района</w:t>
      </w:r>
      <w:r w:rsidRPr="00DC307B">
        <w:rPr>
          <w:rFonts w:ascii="PT Astra Serif" w:hAnsi="PT Astra Serif"/>
          <w:b/>
          <w:bCs/>
          <w:sz w:val="28"/>
          <w:szCs w:val="28"/>
        </w:rPr>
        <w:tab/>
      </w:r>
      <w:r w:rsidRPr="00DC307B">
        <w:rPr>
          <w:rFonts w:ascii="PT Astra Serif" w:hAnsi="PT Astra Serif"/>
          <w:b/>
          <w:bCs/>
          <w:sz w:val="28"/>
          <w:szCs w:val="28"/>
        </w:rPr>
        <w:tab/>
      </w:r>
      <w:r w:rsidRPr="00DC307B">
        <w:rPr>
          <w:rFonts w:ascii="PT Astra Serif" w:hAnsi="PT Astra Serif"/>
          <w:b/>
          <w:bCs/>
          <w:sz w:val="28"/>
          <w:szCs w:val="28"/>
        </w:rPr>
        <w:tab/>
      </w:r>
      <w:r w:rsidRPr="00DC307B">
        <w:rPr>
          <w:rFonts w:ascii="PT Astra Serif" w:hAnsi="PT Astra Serif"/>
          <w:b/>
          <w:bCs/>
          <w:sz w:val="28"/>
          <w:szCs w:val="28"/>
        </w:rPr>
        <w:tab/>
      </w:r>
      <w:r w:rsidRPr="00DC307B">
        <w:rPr>
          <w:rFonts w:ascii="PT Astra Serif" w:hAnsi="PT Astra Serif"/>
          <w:b/>
          <w:bCs/>
          <w:sz w:val="28"/>
          <w:szCs w:val="28"/>
        </w:rPr>
        <w:tab/>
      </w:r>
      <w:r w:rsidRPr="00DC307B">
        <w:rPr>
          <w:rFonts w:ascii="PT Astra Serif" w:hAnsi="PT Astra Serif"/>
          <w:b/>
          <w:bCs/>
          <w:sz w:val="28"/>
          <w:szCs w:val="28"/>
        </w:rPr>
        <w:tab/>
        <w:t>М.А. Кузнецов</w:t>
      </w:r>
    </w:p>
    <w:p w:rsidR="00DC307B" w:rsidRPr="00DC307B" w:rsidRDefault="00DC307B" w:rsidP="00DC307B">
      <w:pPr>
        <w:ind w:left="6521"/>
        <w:rPr>
          <w:rFonts w:ascii="PT Astra Serif" w:hAnsi="PT Astra Serif"/>
          <w:sz w:val="28"/>
          <w:szCs w:val="28"/>
          <w:lang w:eastAsia="en-US"/>
        </w:rPr>
        <w:sectPr w:rsidR="00DC307B" w:rsidRPr="00DC307B" w:rsidSect="00A74F8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C307B" w:rsidRPr="00DC307B" w:rsidRDefault="00DC307B" w:rsidP="00DC307B">
      <w:pPr>
        <w:contextualSpacing/>
        <w:jc w:val="right"/>
        <w:rPr>
          <w:rFonts w:ascii="PT Astra Serif" w:hAnsi="PT Astra Serif"/>
          <w:sz w:val="28"/>
          <w:szCs w:val="28"/>
        </w:rPr>
      </w:pPr>
      <w:r w:rsidRPr="00DC307B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DC307B" w:rsidRPr="00DC307B" w:rsidRDefault="00DC307B" w:rsidP="00DC307B">
      <w:pPr>
        <w:contextualSpacing/>
        <w:jc w:val="right"/>
        <w:rPr>
          <w:rFonts w:ascii="PT Astra Serif" w:hAnsi="PT Astra Serif"/>
          <w:sz w:val="28"/>
          <w:szCs w:val="28"/>
        </w:rPr>
      </w:pPr>
      <w:r w:rsidRPr="00DC307B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DC307B" w:rsidRPr="00DC307B" w:rsidRDefault="00DC307B" w:rsidP="00DC307B">
      <w:pPr>
        <w:jc w:val="right"/>
        <w:rPr>
          <w:rFonts w:ascii="PT Astra Serif" w:hAnsi="PT Astra Serif"/>
          <w:sz w:val="28"/>
          <w:szCs w:val="28"/>
        </w:rPr>
      </w:pPr>
      <w:r w:rsidRPr="00DC307B">
        <w:rPr>
          <w:rFonts w:ascii="PT Astra Serif" w:hAnsi="PT Astra Serif"/>
          <w:sz w:val="28"/>
          <w:szCs w:val="28"/>
        </w:rPr>
        <w:t>Хвалынского муниципального</w:t>
      </w:r>
    </w:p>
    <w:p w:rsidR="00DC307B" w:rsidRPr="00DC307B" w:rsidRDefault="00DC307B" w:rsidP="00DC307B">
      <w:pPr>
        <w:autoSpaceDE w:val="0"/>
        <w:autoSpaceDN w:val="0"/>
        <w:adjustRightInd w:val="0"/>
        <w:ind w:firstLine="540"/>
        <w:jc w:val="right"/>
        <w:rPr>
          <w:rFonts w:ascii="PT Astra Serif" w:hAnsi="PT Astra Serif"/>
          <w:sz w:val="28"/>
          <w:szCs w:val="28"/>
          <w:lang w:eastAsia="en-US"/>
        </w:rPr>
      </w:pPr>
      <w:r w:rsidRPr="00DC307B">
        <w:rPr>
          <w:rFonts w:ascii="PT Astra Serif" w:hAnsi="PT Astra Serif"/>
          <w:sz w:val="28"/>
          <w:szCs w:val="28"/>
          <w:lang w:eastAsia="en-US"/>
        </w:rPr>
        <w:t>района от 29.12.2025 г. № 1168</w:t>
      </w:r>
    </w:p>
    <w:p w:rsidR="00DC307B" w:rsidRPr="00DC307B" w:rsidRDefault="00DC307B" w:rsidP="00DC307B">
      <w:pPr>
        <w:tabs>
          <w:tab w:val="left" w:pos="1981"/>
        </w:tabs>
        <w:rPr>
          <w:rFonts w:ascii="PT Astra Serif" w:hAnsi="PT Astra Serif"/>
          <w:sz w:val="28"/>
          <w:szCs w:val="28"/>
          <w:lang w:eastAsia="en-US"/>
        </w:rPr>
      </w:pPr>
    </w:p>
    <w:p w:rsidR="00DC307B" w:rsidRPr="00DC307B" w:rsidRDefault="00DC307B" w:rsidP="00DC307B">
      <w:pPr>
        <w:tabs>
          <w:tab w:val="left" w:pos="1981"/>
        </w:tabs>
        <w:jc w:val="center"/>
        <w:rPr>
          <w:rFonts w:ascii="PT Astra Serif" w:hAnsi="PT Astra Serif"/>
          <w:b/>
          <w:smallCaps/>
          <w:sz w:val="28"/>
          <w:szCs w:val="28"/>
          <w:lang w:eastAsia="en-US"/>
        </w:rPr>
      </w:pPr>
      <w:r w:rsidRPr="00DC307B">
        <w:rPr>
          <w:rFonts w:ascii="PT Astra Serif" w:hAnsi="PT Astra Serif"/>
          <w:b/>
          <w:smallCaps/>
          <w:sz w:val="28"/>
          <w:szCs w:val="28"/>
          <w:lang w:eastAsia="en-US"/>
        </w:rPr>
        <w:t>Общие параметры, используемые для расчета нормативной стоимости образовательной услуги.</w:t>
      </w: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5202"/>
        <w:gridCol w:w="1559"/>
        <w:gridCol w:w="711"/>
        <w:gridCol w:w="1277"/>
        <w:gridCol w:w="1276"/>
        <w:gridCol w:w="10"/>
      </w:tblGrid>
      <w:tr w:rsidR="00DC307B" w:rsidRPr="00DC307B" w:rsidTr="00DC307B">
        <w:trPr>
          <w:trHeight w:val="1378"/>
        </w:trPr>
        <w:tc>
          <w:tcPr>
            <w:tcW w:w="602" w:type="dxa"/>
            <w:vMerge w:val="restart"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02" w:type="dxa"/>
            <w:vMerge w:val="restart"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Наименование параметра в соответствии с разделом </w:t>
            </w:r>
            <w:r w:rsidRPr="00DC307B">
              <w:rPr>
                <w:rFonts w:ascii="PT Astra Serif" w:hAnsi="PT Astra Serif"/>
                <w:sz w:val="28"/>
                <w:szCs w:val="28"/>
                <w:lang w:val="en-US" w:eastAsia="en-US"/>
              </w:rPr>
              <w:t>VII</w:t>
            </w: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Правил персонифицированного финансирования дополнительного образования детей в Саратовской области</w:t>
            </w:r>
          </w:p>
        </w:tc>
        <w:tc>
          <w:tcPr>
            <w:tcW w:w="1559" w:type="dxa"/>
            <w:vMerge w:val="restart"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Буквенное обозначение параметра в формуле определения нормативной стоимости образовательной услуги</w:t>
            </w:r>
          </w:p>
        </w:tc>
        <w:tc>
          <w:tcPr>
            <w:tcW w:w="711" w:type="dxa"/>
            <w:vMerge w:val="restart"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Размерность параметра</w:t>
            </w:r>
          </w:p>
        </w:tc>
        <w:tc>
          <w:tcPr>
            <w:tcW w:w="2563" w:type="dxa"/>
            <w:gridSpan w:val="3"/>
            <w:vAlign w:val="center"/>
          </w:tcPr>
          <w:p w:rsidR="00DC307B" w:rsidRPr="00DC307B" w:rsidRDefault="00DC307B" w:rsidP="00DC307B">
            <w:pPr>
              <w:tabs>
                <w:tab w:val="left" w:pos="2159"/>
              </w:tabs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Значение параметра</w:t>
            </w:r>
          </w:p>
        </w:tc>
      </w:tr>
      <w:tr w:rsidR="00DC307B" w:rsidRPr="00DC307B" w:rsidTr="00DC307B">
        <w:trPr>
          <w:trHeight w:val="1377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Merge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городская местность</w:t>
            </w:r>
          </w:p>
        </w:tc>
        <w:tc>
          <w:tcPr>
            <w:tcW w:w="1286" w:type="dxa"/>
            <w:gridSpan w:val="2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ind w:left="-120" w:firstLine="120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сельская местность</w:t>
            </w: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Базовая потребность в приобретении услуг, необходимых для обеспечения организации реализации дополнительных общеобразовательных программ (в том числе, услуги по содержанию объектов недвижимого и особо ценного движимого имущества, включая проведение текущего ремонта и мероприятий по обеспечению санитарно-эпидемиологических требований, противопожарной безопасности, охранной сигнализации, коммунальные услуги, услуги связи)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266700" cy="2095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рублей/(кабинет*неделя)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1610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Средние расходы на обеспечение повышения квалификации одного педагогического работника (включая оплату услуг повышения квалификации, проезд и организацию проживания педагогических работников)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266700" cy="209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рублей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8200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Средние расходы на обеспечение допуска к работе одного педагогического работника (включая </w:t>
            </w: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приобретение услуг медицинского осмотра, курсы по охране труда, иное обучение</w:t>
            </w: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390525" cy="2095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рублей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5600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Средние расходы на компенсацию оплаты стоимости проезда и провоза багажа к месту использования отпуска и </w:t>
            </w: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обратно для работников и членов их семей в расчете на одного работника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52425" cy="2095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рублей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Средняя прогнозируемая заработная плата педагогов организаций дополнительного образования в муниципальном районе (городском округе) на период, определяемый учебным годом, на который устанавливается нормативная стоимость образовательной услуги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295275" cy="2286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рублей/месяц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46051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Коэффициент привлечения дополнительных педагогических работников </w:t>
            </w: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(педагоги-психологи, методисты, социальные педагоги и пр.) для сопровождения реализации части образовательной программы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228600" cy="209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1,06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Коэффициент, учитывающий потребность в привлечении работников, которые </w:t>
            </w: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не принимают непосредственного участия в реализации образовательной программы (административно-управленческий, административно-хозяйственный, учебно-вспомогательный и иной персонал)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219075" cy="2286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0,18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Коэффициент отчислений по страховым взносам в государственные внебюджетные фонды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161925" cy="2095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1,302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Коэффициент, учитывающий сохранение заработной платы и для работников, пребывающих в срочном отпуске, а также проходящих очередное повышение квалификации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276225" cy="2095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1,15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Расчетное время полезного использования одного помещения в неделю при реализации образовательных программ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85725" cy="2095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часов/неделя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Коэффициент, учитывающий сложившуюся в системе дополнительного образования практику трудоустройства более чем на одну ставку</w:t>
            </w:r>
          </w:p>
        </w:tc>
        <w:tc>
          <w:tcPr>
            <w:tcW w:w="1559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>
                  <wp:extent cx="190500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ставок на физлицо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 w:val="restart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Базовая стоимость восполнения комплекта средств обучения (включая основные средства и материальные </w:t>
            </w: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lastRenderedPageBreak/>
              <w:t>запасы), используемых для реализации образовательной программы определенная в расчете на одну неделю использования в группах для программ различной направленности, определяемая в зависимости от направленности (вида деятельности)  образовательной программы, в том числе:</w:t>
            </w:r>
          </w:p>
        </w:tc>
        <w:tc>
          <w:tcPr>
            <w:tcW w:w="1559" w:type="dxa"/>
            <w:vMerge w:val="restart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38125" cy="209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Merge w:val="restart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рублей/(ко</w:t>
            </w: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мплект*неделя)</w:t>
            </w: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-</w:t>
            </w: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для программ технической направленности (вид деятельности - робототехника)</w:t>
            </w: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3227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для программ технической направленности техническая (иные виды деятельности)</w:t>
            </w: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2708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для программ естественнонаучной направленности</w:t>
            </w: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2250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для программ физкультурно-спортивной направленности</w:t>
            </w: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2333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для программ художественной направленности</w:t>
            </w: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13250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для программ туристско-краеведческой направленности</w:t>
            </w: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2292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DC307B" w:rsidRPr="00DC307B" w:rsidTr="00DC307B">
        <w:trPr>
          <w:gridAfter w:val="1"/>
          <w:wAfter w:w="10" w:type="dxa"/>
        </w:trPr>
        <w:tc>
          <w:tcPr>
            <w:tcW w:w="602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202" w:type="dxa"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для программ социально-педагогической направленности</w:t>
            </w:r>
          </w:p>
        </w:tc>
        <w:tc>
          <w:tcPr>
            <w:tcW w:w="1559" w:type="dxa"/>
            <w:vMerge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DC307B" w:rsidRPr="00DC307B" w:rsidRDefault="00DC307B" w:rsidP="00DC307B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bookmarkStart w:id="1" w:name="_GoBack"/>
            <w:bookmarkEnd w:id="1"/>
            <w:r w:rsidRPr="00DC307B">
              <w:rPr>
                <w:rFonts w:ascii="PT Astra Serif" w:hAnsi="PT Astra Serif"/>
                <w:sz w:val="28"/>
                <w:szCs w:val="28"/>
                <w:lang w:eastAsia="en-US"/>
              </w:rPr>
              <w:t>786</w:t>
            </w:r>
          </w:p>
        </w:tc>
        <w:tc>
          <w:tcPr>
            <w:tcW w:w="1276" w:type="dxa"/>
            <w:vAlign w:val="center"/>
          </w:tcPr>
          <w:p w:rsidR="00DC307B" w:rsidRPr="00DC307B" w:rsidRDefault="00DC307B" w:rsidP="00DC307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D53E40" w:rsidRPr="00DC307B" w:rsidRDefault="00D53E40" w:rsidP="00DC307B"/>
    <w:sectPr w:rsidR="00D53E40" w:rsidRPr="00DC307B" w:rsidSect="007A5DB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139" w:rsidRDefault="00C23139">
      <w:r>
        <w:separator/>
      </w:r>
    </w:p>
  </w:endnote>
  <w:endnote w:type="continuationSeparator" w:id="0">
    <w:p w:rsidR="00C23139" w:rsidRDefault="00C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2313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2313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231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139" w:rsidRDefault="00C23139">
      <w:r>
        <w:separator/>
      </w:r>
    </w:p>
  </w:footnote>
  <w:footnote w:type="continuationSeparator" w:id="0">
    <w:p w:rsidR="00C23139" w:rsidRDefault="00C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2313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2313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C231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3139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307B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7D87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cedc7b0b-c3ac-4c95-b57d-09f7a1941341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file:///C:\content\act\f32c1aa6-3a99-4863-ae8b-4cc0f60a5339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2026-01-12T10:07:00Z</dcterms:created>
  <dcterms:modified xsi:type="dcterms:W3CDTF">2026-01-12T10:07:00Z</dcterms:modified>
</cp:coreProperties>
</file>